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horzAnchor="page" w:tblpX="1718" w:tblpY="289"/>
        <w:tblOverlap w:val="never"/>
        <w:tblW w:w="13410" w:type="dxa"/>
        <w:tblInd w:w="0" w:type="dxa"/>
        <w:tblLayout w:type="fixed"/>
        <w:tblCellMar>
          <w:top w:w="0" w:type="dxa"/>
          <w:left w:w="108" w:type="dxa"/>
          <w:bottom w:w="0" w:type="dxa"/>
          <w:right w:w="108" w:type="dxa"/>
        </w:tblCellMar>
      </w:tblPr>
      <w:tblGrid>
        <w:gridCol w:w="783"/>
        <w:gridCol w:w="1106"/>
        <w:gridCol w:w="7111"/>
        <w:gridCol w:w="720"/>
        <w:gridCol w:w="855"/>
        <w:gridCol w:w="1440"/>
        <w:gridCol w:w="1395"/>
      </w:tblGrid>
      <w:tr>
        <w:tblPrEx>
          <w:tblCellMar>
            <w:top w:w="0" w:type="dxa"/>
            <w:left w:w="108" w:type="dxa"/>
            <w:bottom w:w="0" w:type="dxa"/>
            <w:right w:w="108" w:type="dxa"/>
          </w:tblCellMar>
        </w:tblPrEx>
        <w:trPr>
          <w:trHeight w:val="320" w:hRule="atLeast"/>
        </w:trPr>
        <w:tc>
          <w:tcPr>
            <w:tcW w:w="783"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eastAsia="Times New Roman"/>
              </w:rPr>
            </w:pPr>
            <w:r>
              <w:rPr>
                <w:rFonts w:hint="eastAsia" w:ascii="Times New Roman" w:hAnsi="Times New Roman"/>
              </w:rPr>
              <w:t>序号</w:t>
            </w:r>
          </w:p>
        </w:tc>
        <w:tc>
          <w:tcPr>
            <w:tcW w:w="1106"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eastAsia="Times New Roman"/>
              </w:rPr>
            </w:pPr>
            <w:r>
              <w:rPr>
                <w:rFonts w:hint="eastAsia" w:ascii="Times New Roman" w:hAnsi="Times New Roman"/>
              </w:rPr>
              <w:t>产品名称</w:t>
            </w:r>
          </w:p>
        </w:tc>
        <w:tc>
          <w:tcPr>
            <w:tcW w:w="7111" w:type="dxa"/>
            <w:tcBorders>
              <w:top w:val="single" w:color="auto" w:sz="4" w:space="0"/>
              <w:left w:val="single" w:color="auto" w:sz="4" w:space="0"/>
              <w:bottom w:val="single" w:color="auto" w:sz="4" w:space="0"/>
              <w:right w:val="single" w:color="auto" w:sz="4" w:space="0"/>
            </w:tcBorders>
            <w:noWrap/>
            <w:vAlign w:val="center"/>
          </w:tcPr>
          <w:p>
            <w:pPr>
              <w:jc w:val="both"/>
              <w:rPr>
                <w:rFonts w:hint="default" w:ascii="Times New Roman" w:eastAsia="宋体"/>
                <w:lang w:val="en-US" w:eastAsia="zh-CN"/>
              </w:rPr>
            </w:pPr>
            <w:r>
              <w:rPr>
                <w:rFonts w:hint="eastAsia" w:ascii="Times New Roman" w:eastAsia="宋体"/>
                <w:lang w:val="en-US" w:eastAsia="zh-CN"/>
              </w:rPr>
              <w:t>参数</w:t>
            </w:r>
          </w:p>
        </w:tc>
        <w:tc>
          <w:tcPr>
            <w:tcW w:w="72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eastAsia="Times New Roman"/>
              </w:rPr>
            </w:pPr>
            <w:r>
              <w:rPr>
                <w:rFonts w:hint="eastAsia" w:ascii="Times New Roman" w:hAnsi="Times New Roman"/>
              </w:rPr>
              <w:t>数量</w:t>
            </w:r>
          </w:p>
        </w:tc>
        <w:tc>
          <w:tcPr>
            <w:tcW w:w="855"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eastAsia="Times New Roman"/>
              </w:rPr>
            </w:pPr>
            <w:r>
              <w:rPr>
                <w:rFonts w:hint="eastAsia" w:ascii="Times New Roman" w:hAnsi="Times New Roman"/>
              </w:rPr>
              <w:t>单位</w:t>
            </w:r>
          </w:p>
        </w:tc>
        <w:tc>
          <w:tcPr>
            <w:tcW w:w="144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Times New Roman" w:eastAsia="宋体"/>
                <w:lang w:eastAsia="zh-CN"/>
              </w:rPr>
            </w:pPr>
            <w:r>
              <w:rPr>
                <w:rFonts w:hint="eastAsia" w:ascii="Times New Roman" w:hAnsi="Times New Roman"/>
              </w:rPr>
              <w:t>单价</w:t>
            </w:r>
            <w:r>
              <w:rPr>
                <w:rFonts w:hint="eastAsia"/>
                <w:lang w:eastAsia="zh-CN"/>
              </w:rPr>
              <w:t>（</w:t>
            </w:r>
            <w:r>
              <w:rPr>
                <w:rFonts w:hint="eastAsia"/>
                <w:lang w:val="en-US" w:eastAsia="zh-CN"/>
              </w:rPr>
              <w:t>元</w:t>
            </w:r>
            <w:r>
              <w:rPr>
                <w:rFonts w:hint="eastAsia"/>
                <w:lang w:eastAsia="zh-CN"/>
              </w:rPr>
              <w:t>）</w:t>
            </w:r>
          </w:p>
        </w:tc>
        <w:tc>
          <w:tcPr>
            <w:tcW w:w="1395"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eastAsia="宋体"/>
                <w:lang w:val="en-US" w:eastAsia="zh-CN"/>
              </w:rPr>
            </w:pPr>
            <w:r>
              <w:rPr>
                <w:rFonts w:hint="eastAsia"/>
                <w:lang w:val="en-US" w:eastAsia="zh-CN"/>
              </w:rPr>
              <w:t>合计（元）</w:t>
            </w:r>
          </w:p>
        </w:tc>
      </w:tr>
      <w:tr>
        <w:tblPrEx>
          <w:tblCellMar>
            <w:top w:w="0" w:type="dxa"/>
            <w:left w:w="108" w:type="dxa"/>
            <w:bottom w:w="0" w:type="dxa"/>
            <w:right w:w="108" w:type="dxa"/>
          </w:tblCellMar>
        </w:tblPrEx>
        <w:trPr>
          <w:trHeight w:val="320" w:hRule="atLeast"/>
        </w:trPr>
        <w:tc>
          <w:tcPr>
            <w:tcW w:w="78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Times New Roman" w:hAnsi="Times New Roman" w:eastAsia="Times New Roman"/>
              </w:rPr>
            </w:pPr>
            <w:r>
              <w:rPr>
                <w:rFonts w:hint="default" w:ascii="Times New Roman" w:hAnsi="Times New Roman" w:eastAsia="宋体" w:cs="Times New Roman"/>
                <w:i w:val="0"/>
                <w:color w:val="000000"/>
                <w:kern w:val="0"/>
                <w:sz w:val="24"/>
                <w:szCs w:val="24"/>
                <w:u w:val="none"/>
                <w:lang w:val="en-US" w:eastAsia="zh-CN" w:bidi="ar"/>
              </w:rPr>
              <w:t>1</w:t>
            </w:r>
          </w:p>
        </w:tc>
        <w:tc>
          <w:tcPr>
            <w:tcW w:w="1106"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Times New Roman" w:eastAsia="Times New Roman"/>
              </w:rPr>
            </w:pPr>
            <w:r>
              <w:rPr>
                <w:rFonts w:hint="eastAsia" w:ascii="宋体" w:hAnsi="宋体" w:eastAsia="宋体" w:cs="宋体"/>
                <w:i w:val="0"/>
                <w:color w:val="000000"/>
                <w:kern w:val="0"/>
                <w:sz w:val="24"/>
                <w:szCs w:val="24"/>
                <w:u w:val="none"/>
                <w:lang w:val="en-US" w:eastAsia="en-US" w:bidi="ar"/>
              </w:rPr>
              <w:t>云主机</w:t>
            </w:r>
          </w:p>
        </w:tc>
        <w:tc>
          <w:tcPr>
            <w:tcW w:w="7111"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left"/>
              <w:textAlignment w:val="center"/>
              <w:rPr>
                <w:lang w:val="en-US" w:eastAsia="zh-CN"/>
              </w:rPr>
            </w:pPr>
            <w:r>
              <w:rPr>
                <w:rFonts w:hint="default"/>
                <w:lang w:val="en-US" w:eastAsia="zh-CN"/>
              </w:rPr>
              <w:t>★1</w:t>
            </w:r>
            <w:r>
              <w:rPr>
                <w:lang w:val="en-US" w:eastAsia="zh-CN"/>
              </w:rPr>
              <w:t>、软硬件一体化设备，CPU配置不低于Intel Xeon E3系列，主频不低于3.4GHz；内存插槽≥4个，此次配置≥16GB DDR4内存；硬盘插槽≥6个，此次配置≥240GB SSD固态硬盘，≥8T SATA机械硬盘；提供≥4个千兆网口；</w:t>
            </w:r>
            <w:r>
              <w:rPr>
                <w:lang w:val="en-US" w:eastAsia="zh-CN"/>
              </w:rPr>
              <w:br w:type="textWrapping"/>
            </w:r>
            <w:r>
              <w:rPr>
                <w:lang w:val="en-US" w:eastAsia="zh-CN"/>
              </w:rPr>
              <w:t>2、要求出厂预装服务器虚拟化软件等桌面云组件，无需单独购买和配置虚拟化软件；</w:t>
            </w:r>
            <w:r>
              <w:rPr>
                <w:lang w:val="en-US" w:eastAsia="zh-CN"/>
              </w:rPr>
              <w:br w:type="textWrapping"/>
            </w:r>
            <w:r>
              <w:rPr>
                <w:rFonts w:hint="default"/>
                <w:lang w:val="en-US" w:eastAsia="zh-CN"/>
              </w:rPr>
              <w:t>★</w:t>
            </w:r>
            <w:r>
              <w:rPr>
                <w:lang w:val="en-US" w:eastAsia="zh-CN"/>
              </w:rPr>
              <w:t>3、单台服务器支持≥</w:t>
            </w:r>
            <w:r>
              <w:rPr>
                <w:rFonts w:hint="eastAsia"/>
                <w:lang w:val="en-US" w:eastAsia="zh-CN"/>
              </w:rPr>
              <w:t>1000</w:t>
            </w:r>
            <w:r>
              <w:rPr>
                <w:lang w:val="en-US" w:eastAsia="zh-CN"/>
              </w:rPr>
              <w:t>台终端的连接、管理；</w:t>
            </w:r>
            <w:r>
              <w:rPr>
                <w:rFonts w:hint="eastAsia"/>
                <w:lang w:val="en-US" w:eastAsia="zh-CN"/>
              </w:rPr>
              <w:t>本次授权管理120台</w:t>
            </w:r>
            <w:r>
              <w:rPr>
                <w:lang w:val="en-US" w:eastAsia="zh-CN"/>
              </w:rPr>
              <w:t>；</w:t>
            </w:r>
            <w:r>
              <w:rPr>
                <w:lang w:val="en-US" w:eastAsia="zh-CN"/>
              </w:rPr>
              <w:br w:type="textWrapping"/>
            </w:r>
            <w:r>
              <w:rPr>
                <w:lang w:val="en-US" w:eastAsia="zh-CN"/>
              </w:rPr>
              <w:t>4、支持与AD域对接，可以将AD域的OU组或用户映射到云主机本地，并且支持自动加域功能；</w:t>
            </w:r>
            <w:r>
              <w:rPr>
                <w:lang w:val="en-US" w:eastAsia="zh-CN"/>
              </w:rPr>
              <w:br w:type="textWrapping"/>
            </w:r>
            <w:r>
              <w:rPr>
                <w:lang w:val="en-US" w:eastAsia="zh-CN"/>
              </w:rPr>
              <w:t>5、支持B/S架构的统一管理界面，提供向导式的部署方法，可实时显示在线终端列表和云主机的负载情况，显示可现云终端的使用活跃度，云终端的闲置率，支持对于所有终端实现一键关机功能；</w:t>
            </w:r>
            <w:r>
              <w:rPr>
                <w:lang w:val="en-US" w:eastAsia="zh-CN"/>
              </w:rPr>
              <w:br w:type="textWrapping"/>
            </w:r>
            <w:r>
              <w:rPr>
                <w:lang w:val="en-US" w:eastAsia="zh-CN"/>
              </w:rPr>
              <w:t>6、支持镜像管理功能，支持将镜像设置为公用镜像为所有公用云终端提供系统模板或将镜像绑定给特定用户/用户组；</w:t>
            </w:r>
            <w:r>
              <w:rPr>
                <w:lang w:val="en-US" w:eastAsia="zh-CN"/>
              </w:rPr>
              <w:br w:type="textWrapping"/>
            </w:r>
            <w:r>
              <w:rPr>
                <w:lang w:val="en-US" w:eastAsia="zh-CN"/>
              </w:rPr>
              <w:t>7、支持用户管理功能，支持用户自由创建用户或者用户组，可为用户或用户组设置虚拟机镜像，从而实现办公环境多样化的系统环境；</w:t>
            </w:r>
            <w:r>
              <w:rPr>
                <w:lang w:val="en-US" w:eastAsia="zh-CN"/>
              </w:rPr>
              <w:br w:type="textWrapping"/>
            </w:r>
            <w:r>
              <w:rPr>
                <w:rFonts w:hint="eastAsia"/>
                <w:lang w:val="en-US" w:eastAsia="zh-CN"/>
              </w:rPr>
              <w:t>8</w:t>
            </w:r>
            <w:r>
              <w:rPr>
                <w:lang w:val="en-US" w:eastAsia="zh-CN"/>
              </w:rPr>
              <w:t>、支持终端USB外设管理功能，可基于用户或用户组允许或禁止使用某一类型的USB外设；预设外设类型包含输入设备、存储设备、UKEY、办公设备、读卡器、手机等；</w:t>
            </w:r>
            <w:r>
              <w:rPr>
                <w:lang w:val="en-US" w:eastAsia="zh-CN"/>
              </w:rPr>
              <w:br w:type="textWrapping"/>
            </w:r>
            <w:r>
              <w:rPr>
                <w:rFonts w:hint="default"/>
                <w:lang w:val="en-US" w:eastAsia="zh-CN"/>
              </w:rPr>
              <w:t>★</w:t>
            </w:r>
            <w:r>
              <w:rPr>
                <w:rFonts w:hint="eastAsia"/>
                <w:lang w:val="en-US" w:eastAsia="zh-CN"/>
              </w:rPr>
              <w:t>9</w:t>
            </w:r>
            <w:r>
              <w:rPr>
                <w:lang w:val="en-US" w:eastAsia="zh-CN"/>
              </w:rPr>
              <w:t>、提供终端管理功能，支持终端按物理安放位置进行分组，并能够显示终端登入类型、绑定用户、当前镜像、终端IP、在线状态等信息，提供国家认可的权威机构出具的检测报告复印件；</w:t>
            </w:r>
            <w:r>
              <w:rPr>
                <w:lang w:val="en-US" w:eastAsia="zh-CN"/>
              </w:rPr>
              <w:br w:type="textWrapping"/>
            </w:r>
            <w:r>
              <w:rPr>
                <w:lang w:val="en-US" w:eastAsia="zh-CN"/>
              </w:rPr>
              <w:t>1</w:t>
            </w:r>
            <w:r>
              <w:rPr>
                <w:rFonts w:hint="eastAsia"/>
                <w:lang w:val="en-US" w:eastAsia="zh-CN"/>
              </w:rPr>
              <w:t>0</w:t>
            </w:r>
            <w:r>
              <w:rPr>
                <w:lang w:val="en-US" w:eastAsia="zh-CN"/>
              </w:rPr>
              <w:t>、支持云终端无账号登陆模式，该模式下云终端可从云主机下载公用镜像，部署在公共场合使用；</w:t>
            </w:r>
            <w:r>
              <w:rPr>
                <w:lang w:val="en-US" w:eastAsia="zh-CN"/>
              </w:rPr>
              <w:br w:type="textWrapping"/>
            </w:r>
            <w:r>
              <w:rPr>
                <w:lang w:val="en-US" w:eastAsia="zh-CN"/>
              </w:rPr>
              <w:t>1</w:t>
            </w:r>
            <w:r>
              <w:rPr>
                <w:rFonts w:hint="eastAsia"/>
                <w:lang w:val="en-US" w:eastAsia="zh-CN"/>
              </w:rPr>
              <w:t>1</w:t>
            </w:r>
            <w:r>
              <w:rPr>
                <w:lang w:val="en-US" w:eastAsia="zh-CN"/>
              </w:rPr>
              <w:t>、支持服务器热备功能，当主服务器发生故障时，备用服务器可及时切换为主服务器；</w:t>
            </w:r>
            <w:r>
              <w:rPr>
                <w:lang w:val="en-US" w:eastAsia="zh-CN"/>
              </w:rPr>
              <w:br w:type="textWrapping"/>
            </w:r>
            <w:r>
              <w:rPr>
                <w:lang w:val="en-US" w:eastAsia="zh-CN"/>
              </w:rPr>
              <w:t>1</w:t>
            </w:r>
            <w:r>
              <w:rPr>
                <w:rFonts w:hint="eastAsia"/>
                <w:lang w:val="en-US" w:eastAsia="zh-CN"/>
              </w:rPr>
              <w:t>2</w:t>
            </w:r>
            <w:r>
              <w:rPr>
                <w:lang w:val="en-US" w:eastAsia="zh-CN"/>
              </w:rPr>
              <w:t>、当终端处于非NAT网络环境时，终端支持远程协助功能，即管理员征得终端用户同意，可远程协助操作终端虚拟机，无需到现场解决问题；</w:t>
            </w:r>
            <w:r>
              <w:rPr>
                <w:lang w:val="en-US" w:eastAsia="zh-CN"/>
              </w:rPr>
              <w:br w:type="textWrapping"/>
            </w:r>
            <w:r>
              <w:rPr>
                <w:lang w:val="en-US" w:eastAsia="zh-CN"/>
              </w:rPr>
              <w:t>1</w:t>
            </w:r>
            <w:r>
              <w:rPr>
                <w:rFonts w:hint="eastAsia"/>
                <w:lang w:val="en-US" w:eastAsia="zh-CN"/>
              </w:rPr>
              <w:t>3</w:t>
            </w:r>
            <w:r>
              <w:rPr>
                <w:lang w:val="en-US" w:eastAsia="zh-CN"/>
              </w:rPr>
              <w:t>、离线时，终端内嵌绑定用户认证功能，确保在无法和服务器连接做认证时，可判定用户的认证信息是否正确，如果正确可以登录离线模式的办公桌面（网络恢复时可以正常上网）；</w:t>
            </w:r>
            <w:r>
              <w:rPr>
                <w:lang w:val="en-US" w:eastAsia="zh-CN"/>
              </w:rPr>
              <w:br w:type="textWrapping"/>
            </w:r>
            <w:r>
              <w:rPr>
                <w:rFonts w:hint="default"/>
                <w:lang w:val="en-US" w:eastAsia="zh-CN"/>
              </w:rPr>
              <w:t>★</w:t>
            </w:r>
            <w:r>
              <w:rPr>
                <w:lang w:val="en-US" w:eastAsia="zh-CN"/>
              </w:rPr>
              <w:t>1</w:t>
            </w:r>
            <w:r>
              <w:rPr>
                <w:rFonts w:hint="eastAsia"/>
                <w:lang w:val="en-US" w:eastAsia="zh-CN"/>
              </w:rPr>
              <w:t>4</w:t>
            </w:r>
            <w:r>
              <w:rPr>
                <w:lang w:val="en-US" w:eastAsia="zh-CN"/>
              </w:rPr>
              <w:t>、支持终端无线白名单功能，终端只能连接符合白名单的合规无线SSID，不能连接至非法SSID，提供国家认可的权威机构出具的检测报告复印件；</w:t>
            </w:r>
            <w:r>
              <w:rPr>
                <w:lang w:val="en-US" w:eastAsia="zh-CN"/>
              </w:rPr>
              <w:br w:type="textWrapping"/>
            </w:r>
            <w:r>
              <w:rPr>
                <w:rFonts w:hint="default"/>
                <w:lang w:val="en-US" w:eastAsia="zh-CN"/>
              </w:rPr>
              <w:t>★</w:t>
            </w:r>
            <w:r>
              <w:rPr>
                <w:lang w:val="en-US" w:eastAsia="zh-CN"/>
              </w:rPr>
              <w:t>1</w:t>
            </w:r>
            <w:r>
              <w:rPr>
                <w:rFonts w:hint="eastAsia"/>
                <w:lang w:val="en-US" w:eastAsia="zh-CN"/>
              </w:rPr>
              <w:t>5</w:t>
            </w:r>
            <w:r>
              <w:rPr>
                <w:lang w:val="en-US" w:eastAsia="zh-CN"/>
              </w:rPr>
              <w:t>、为防止静电干扰导致服务器宕机，要求所投产品满足抗电强度GB/T 17626.2-2006、GB/T 17626.5-2008规范，提供国家认可的权威机构出具的检测报告复印件；</w:t>
            </w:r>
          </w:p>
          <w:p>
            <w:pPr>
              <w:keepNext w:val="0"/>
              <w:keepLines w:val="0"/>
              <w:widowControl/>
              <w:suppressLineNumbers w:val="0"/>
              <w:jc w:val="left"/>
              <w:textAlignment w:val="center"/>
              <w:rPr>
                <w:rFonts w:hint="eastAsia"/>
                <w:lang w:val="en-US" w:eastAsia="zh-CN"/>
              </w:rPr>
            </w:pPr>
            <w:r>
              <w:rPr>
                <w:rFonts w:hint="default"/>
                <w:lang w:val="en-US" w:eastAsia="zh-CN"/>
              </w:rPr>
              <w:t>★</w:t>
            </w:r>
            <w:r>
              <w:rPr>
                <w:rFonts w:hint="eastAsia"/>
                <w:lang w:val="en-US" w:eastAsia="zh-CN"/>
              </w:rPr>
              <w:t>16、所投产品生产厂商具备成熟的技术服务与运行维护管理体系，具备由中国电子工业标准化技术协会（ITSS）发布的信息技术服务运行维护标准符合性证书，成熟度达到三级或以上，提供证书复印件；</w:t>
            </w:r>
          </w:p>
          <w:p>
            <w:pPr>
              <w:keepNext w:val="0"/>
              <w:keepLines w:val="0"/>
              <w:widowControl/>
              <w:suppressLineNumbers w:val="0"/>
              <w:jc w:val="left"/>
              <w:textAlignment w:val="center"/>
              <w:rPr>
                <w:rFonts w:hint="eastAsia"/>
                <w:lang w:val="en-US" w:eastAsia="zh-CN"/>
              </w:rPr>
            </w:pPr>
            <w:r>
              <w:rPr>
                <w:rFonts w:hint="default"/>
                <w:lang w:val="en-US" w:eastAsia="zh-CN"/>
              </w:rPr>
              <w:t>★</w:t>
            </w:r>
            <w:r>
              <w:rPr>
                <w:rFonts w:hint="eastAsia"/>
                <w:lang w:val="en-US" w:eastAsia="zh-CN"/>
              </w:rPr>
              <w:t>17、为保证绿色环保，所投产品生产厂商须具备有害物质控制管理能力，提供QC080000:2017体系认证证书复印件。</w:t>
            </w:r>
          </w:p>
          <w:p>
            <w:pPr>
              <w:keepNext w:val="0"/>
              <w:keepLines w:val="0"/>
              <w:widowControl/>
              <w:suppressLineNumbers w:val="0"/>
              <w:jc w:val="left"/>
              <w:textAlignment w:val="center"/>
            </w:pPr>
            <w:r>
              <w:rPr>
                <w:rFonts w:hint="eastAsia"/>
                <w:lang w:val="en-US" w:eastAsia="zh-CN"/>
              </w:rPr>
              <w:t>18、以上“</w:t>
            </w:r>
            <w:r>
              <w:rPr>
                <w:rFonts w:hint="default"/>
                <w:lang w:val="en-US" w:eastAsia="zh-CN"/>
              </w:rPr>
              <w:t>★</w:t>
            </w:r>
            <w:r>
              <w:rPr>
                <w:rFonts w:hint="eastAsia"/>
                <w:lang w:val="en-US" w:eastAsia="zh-CN"/>
              </w:rPr>
              <w:t>”部分为重要参数，不允许有负偏离。</w:t>
            </w:r>
          </w:p>
        </w:tc>
        <w:tc>
          <w:tcPr>
            <w:tcW w:w="720"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Times New Roman" w:eastAsia="Times New Roman"/>
              </w:rPr>
            </w:pPr>
            <w:r>
              <w:rPr>
                <w:rFonts w:hint="default" w:ascii="Times New Roman" w:hAnsi="Times New Roman" w:eastAsia="宋体" w:cs="Times New Roman"/>
                <w:i w:val="0"/>
                <w:color w:val="000000"/>
                <w:kern w:val="0"/>
                <w:sz w:val="24"/>
                <w:szCs w:val="24"/>
                <w:u w:val="none"/>
                <w:lang w:val="en-US" w:eastAsia="zh-CN" w:bidi="ar"/>
              </w:rPr>
              <w:t xml:space="preserve">1 </w:t>
            </w:r>
          </w:p>
        </w:tc>
        <w:tc>
          <w:tcPr>
            <w:tcW w:w="855"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Times New Roman" w:hAnsi="Times New Roman" w:eastAsia="Times New Roman"/>
              </w:rPr>
            </w:pPr>
            <w:r>
              <w:rPr>
                <w:rFonts w:hint="eastAsia" w:ascii="宋体" w:hAnsi="宋体" w:eastAsia="宋体" w:cs="宋体"/>
                <w:i w:val="0"/>
                <w:color w:val="000000"/>
                <w:kern w:val="0"/>
                <w:sz w:val="24"/>
                <w:szCs w:val="24"/>
                <w:u w:val="none"/>
                <w:lang w:val="en-US" w:eastAsia="en-US" w:bidi="ar"/>
              </w:rPr>
              <w:t>台</w:t>
            </w:r>
          </w:p>
        </w:tc>
        <w:tc>
          <w:tcPr>
            <w:tcW w:w="1440"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Times New Roman" w:hAnsi="Times New Roman" w:eastAsia="Times New Roman"/>
              </w:rPr>
            </w:pPr>
          </w:p>
        </w:tc>
        <w:tc>
          <w:tcPr>
            <w:tcW w:w="1395"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Times New Roman" w:eastAsia="Times New Roman"/>
              </w:rPr>
            </w:pPr>
          </w:p>
        </w:tc>
      </w:tr>
      <w:tr>
        <w:tblPrEx>
          <w:tblCellMar>
            <w:top w:w="0" w:type="dxa"/>
            <w:left w:w="108" w:type="dxa"/>
            <w:bottom w:w="0" w:type="dxa"/>
            <w:right w:w="108" w:type="dxa"/>
          </w:tblCellMar>
        </w:tblPrEx>
        <w:trPr>
          <w:trHeight w:val="320" w:hRule="atLeast"/>
        </w:trPr>
        <w:tc>
          <w:tcPr>
            <w:tcW w:w="783"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Times New Roman" w:hAnsi="Times New Roman" w:eastAsia="Times New Roman"/>
              </w:rPr>
            </w:pPr>
            <w:r>
              <w:rPr>
                <w:rFonts w:hint="default" w:ascii="Times New Roman" w:hAnsi="Times New Roman" w:eastAsia="宋体" w:cs="Times New Roman"/>
                <w:i w:val="0"/>
                <w:color w:val="000000"/>
                <w:kern w:val="0"/>
                <w:sz w:val="24"/>
                <w:szCs w:val="24"/>
                <w:u w:val="none"/>
                <w:lang w:val="en-US" w:eastAsia="zh-CN" w:bidi="ar"/>
              </w:rPr>
              <w:t>2</w:t>
            </w:r>
          </w:p>
        </w:tc>
        <w:tc>
          <w:tcPr>
            <w:tcW w:w="1106"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Times New Roman" w:eastAsia="Times New Roman"/>
              </w:rPr>
            </w:pPr>
            <w:r>
              <w:rPr>
                <w:rFonts w:hint="eastAsia" w:ascii="宋体" w:hAnsi="宋体" w:eastAsia="宋体" w:cs="宋体"/>
                <w:i w:val="0"/>
                <w:color w:val="000000"/>
                <w:kern w:val="0"/>
                <w:sz w:val="24"/>
                <w:szCs w:val="24"/>
                <w:u w:val="none"/>
                <w:lang w:val="en-US" w:eastAsia="en-US" w:bidi="ar"/>
              </w:rPr>
              <w:t>智能云终端</w:t>
            </w:r>
          </w:p>
        </w:tc>
        <w:tc>
          <w:tcPr>
            <w:tcW w:w="7111"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lang w:val="en-US" w:eastAsia="zh-CN"/>
              </w:rPr>
            </w:pPr>
            <w:r>
              <w:rPr>
                <w:rFonts w:hint="default"/>
                <w:lang w:val="en-US" w:eastAsia="zh-CN"/>
              </w:rPr>
              <w:t>1</w:t>
            </w:r>
            <w:r>
              <w:rPr>
                <w:rFonts w:hint="eastAsia"/>
                <w:lang w:val="en-US" w:eastAsia="zh-CN"/>
              </w:rPr>
              <w:t>、软硬件一体化设备，内置虚拟化系统和软件；</w:t>
            </w:r>
            <w:r>
              <w:rPr>
                <w:rFonts w:hint="default"/>
                <w:lang w:val="en-US" w:eastAsia="zh-CN"/>
              </w:rPr>
              <w:br w:type="textWrapping"/>
            </w:r>
            <w:r>
              <w:rPr>
                <w:rFonts w:hint="default"/>
                <w:lang w:val="en-US" w:eastAsia="zh-CN"/>
              </w:rPr>
              <w:t>★2</w:t>
            </w:r>
            <w:r>
              <w:rPr>
                <w:rFonts w:hint="eastAsia"/>
                <w:lang w:val="en-US" w:eastAsia="zh-CN"/>
              </w:rPr>
              <w:t>、配置</w:t>
            </w:r>
            <w:r>
              <w:rPr>
                <w:rFonts w:hint="default"/>
                <w:lang w:val="en-US" w:eastAsia="zh-CN"/>
              </w:rPr>
              <w:t>≥Intel</w:t>
            </w:r>
            <w:r>
              <w:rPr>
                <w:rFonts w:hint="eastAsia"/>
                <w:lang w:val="en-US" w:eastAsia="zh-CN"/>
              </w:rPr>
              <w:t>第八代四核四线程处理器（处理器主频</w:t>
            </w:r>
            <w:r>
              <w:rPr>
                <w:rFonts w:hint="default"/>
                <w:lang w:val="en-US" w:eastAsia="zh-CN"/>
              </w:rPr>
              <w:t>≥3.6GHz</w:t>
            </w:r>
            <w:r>
              <w:rPr>
                <w:rFonts w:hint="eastAsia"/>
                <w:lang w:val="en-US" w:eastAsia="zh-CN"/>
              </w:rPr>
              <w:t>）；内存</w:t>
            </w:r>
            <w:r>
              <w:rPr>
                <w:rFonts w:hint="default"/>
                <w:lang w:val="en-US" w:eastAsia="zh-CN"/>
              </w:rPr>
              <w:t>≥</w:t>
            </w:r>
            <w:r>
              <w:rPr>
                <w:rFonts w:hint="eastAsia"/>
                <w:lang w:val="en-US" w:eastAsia="zh-CN"/>
              </w:rPr>
              <w:t>8</w:t>
            </w:r>
            <w:r>
              <w:rPr>
                <w:rFonts w:hint="default"/>
                <w:lang w:val="en-US" w:eastAsia="zh-CN"/>
              </w:rPr>
              <w:t>GB</w:t>
            </w:r>
            <w:r>
              <w:rPr>
                <w:rFonts w:hint="eastAsia"/>
                <w:lang w:val="en-US" w:eastAsia="zh-CN"/>
              </w:rPr>
              <w:t>，显卡</w:t>
            </w:r>
            <w:r>
              <w:rPr>
                <w:rFonts w:hint="default"/>
                <w:lang w:val="en-US" w:eastAsia="zh-CN"/>
              </w:rPr>
              <w:t>≥Intel HD 630</w:t>
            </w:r>
            <w:r>
              <w:rPr>
                <w:rFonts w:hint="eastAsia"/>
                <w:lang w:val="en-US" w:eastAsia="zh-CN"/>
              </w:rPr>
              <w:t>；本地存储</w:t>
            </w:r>
            <w:r>
              <w:rPr>
                <w:rFonts w:hint="default"/>
                <w:lang w:val="en-US" w:eastAsia="zh-CN"/>
              </w:rPr>
              <w:t>≥256 GB SSD</w:t>
            </w:r>
            <w:r>
              <w:rPr>
                <w:rFonts w:hint="eastAsia"/>
                <w:lang w:val="en-US" w:eastAsia="zh-CN"/>
              </w:rPr>
              <w:t>；</w:t>
            </w:r>
            <w:r>
              <w:rPr>
                <w:rFonts w:hint="default"/>
                <w:lang w:val="en-US" w:eastAsia="zh-CN"/>
              </w:rPr>
              <w:br w:type="textWrapping"/>
            </w:r>
            <w:r>
              <w:rPr>
                <w:rFonts w:hint="default"/>
                <w:lang w:val="en-US" w:eastAsia="zh-CN"/>
              </w:rPr>
              <w:t>3</w:t>
            </w:r>
            <w:r>
              <w:rPr>
                <w:rFonts w:hint="eastAsia"/>
                <w:lang w:val="en-US" w:eastAsia="zh-CN"/>
              </w:rPr>
              <w:t>、为节约桌面空间，终端主体尺寸部分</w:t>
            </w:r>
            <w:r>
              <w:rPr>
                <w:rFonts w:hint="default"/>
                <w:lang w:val="en-US" w:eastAsia="zh-CN"/>
              </w:rPr>
              <w:t>(L*W*H)≤20cm*20cm*6cm</w:t>
            </w:r>
            <w:r>
              <w:rPr>
                <w:rFonts w:hint="eastAsia"/>
                <w:lang w:val="en-US" w:eastAsia="zh-CN"/>
              </w:rPr>
              <w:t>；</w:t>
            </w:r>
            <w:r>
              <w:rPr>
                <w:rFonts w:hint="default"/>
                <w:lang w:val="en-US" w:eastAsia="zh-CN"/>
              </w:rPr>
              <w:br w:type="textWrapping"/>
            </w:r>
            <w:r>
              <w:rPr>
                <w:rFonts w:hint="default"/>
                <w:lang w:val="en-US" w:eastAsia="zh-CN"/>
              </w:rPr>
              <w:t>★4</w:t>
            </w:r>
            <w:r>
              <w:rPr>
                <w:rFonts w:hint="eastAsia"/>
                <w:lang w:val="en-US" w:eastAsia="zh-CN"/>
              </w:rPr>
              <w:t>、</w:t>
            </w:r>
            <w:r>
              <w:rPr>
                <w:rFonts w:hint="default"/>
                <w:lang w:val="en-US" w:eastAsia="zh-CN"/>
              </w:rPr>
              <w:t>USB</w:t>
            </w:r>
            <w:r>
              <w:rPr>
                <w:rFonts w:hint="eastAsia"/>
                <w:lang w:val="en-US" w:eastAsia="zh-CN"/>
              </w:rPr>
              <w:t>接口</w:t>
            </w:r>
            <w:r>
              <w:rPr>
                <w:rFonts w:hint="default"/>
                <w:lang w:val="en-US" w:eastAsia="zh-CN"/>
              </w:rPr>
              <w:t>≥8</w:t>
            </w:r>
            <w:r>
              <w:rPr>
                <w:rFonts w:hint="eastAsia"/>
                <w:lang w:val="en-US" w:eastAsia="zh-CN"/>
              </w:rPr>
              <w:t>个（包含</w:t>
            </w:r>
            <w:r>
              <w:rPr>
                <w:rFonts w:hint="default"/>
                <w:lang w:val="en-US" w:eastAsia="zh-CN"/>
              </w:rPr>
              <w:t>≥2</w:t>
            </w:r>
            <w:r>
              <w:rPr>
                <w:rFonts w:hint="eastAsia"/>
                <w:lang w:val="en-US" w:eastAsia="zh-CN"/>
              </w:rPr>
              <w:t>个</w:t>
            </w:r>
            <w:r>
              <w:rPr>
                <w:rFonts w:hint="default"/>
                <w:lang w:val="en-US" w:eastAsia="zh-CN"/>
              </w:rPr>
              <w:t>USB 3.0</w:t>
            </w:r>
            <w:r>
              <w:rPr>
                <w:rFonts w:hint="eastAsia"/>
                <w:lang w:val="en-US" w:eastAsia="zh-CN"/>
              </w:rPr>
              <w:t>接口），</w:t>
            </w:r>
            <w:r>
              <w:rPr>
                <w:rFonts w:hint="default"/>
                <w:lang w:val="en-US" w:eastAsia="zh-CN"/>
              </w:rPr>
              <w:t>≥1</w:t>
            </w:r>
            <w:r>
              <w:rPr>
                <w:rFonts w:hint="eastAsia"/>
                <w:lang w:val="en-US" w:eastAsia="zh-CN"/>
              </w:rPr>
              <w:t>个千兆网口，</w:t>
            </w:r>
            <w:r>
              <w:rPr>
                <w:rFonts w:hint="default"/>
                <w:lang w:val="en-US" w:eastAsia="zh-CN"/>
              </w:rPr>
              <w:t>≥1</w:t>
            </w:r>
            <w:r>
              <w:rPr>
                <w:rFonts w:hint="eastAsia"/>
                <w:lang w:val="en-US" w:eastAsia="zh-CN"/>
              </w:rPr>
              <w:t>个</w:t>
            </w:r>
            <w:r>
              <w:rPr>
                <w:rFonts w:hint="default"/>
                <w:lang w:val="en-US" w:eastAsia="zh-CN"/>
              </w:rPr>
              <w:t>VGA</w:t>
            </w:r>
            <w:r>
              <w:rPr>
                <w:rFonts w:hint="eastAsia"/>
                <w:lang w:val="en-US" w:eastAsia="zh-CN"/>
              </w:rPr>
              <w:t>接口，</w:t>
            </w:r>
            <w:r>
              <w:rPr>
                <w:rFonts w:hint="default"/>
                <w:lang w:val="en-US" w:eastAsia="zh-CN"/>
              </w:rPr>
              <w:t>≥1</w:t>
            </w:r>
            <w:r>
              <w:rPr>
                <w:rFonts w:hint="eastAsia"/>
                <w:lang w:val="en-US" w:eastAsia="zh-CN"/>
              </w:rPr>
              <w:t>个</w:t>
            </w:r>
            <w:r>
              <w:rPr>
                <w:rFonts w:hint="default"/>
                <w:lang w:val="en-US" w:eastAsia="zh-CN"/>
              </w:rPr>
              <w:t>HDMI</w:t>
            </w:r>
            <w:r>
              <w:rPr>
                <w:rFonts w:hint="eastAsia"/>
                <w:lang w:val="en-US" w:eastAsia="zh-CN"/>
              </w:rPr>
              <w:t>接口，</w:t>
            </w:r>
            <w:r>
              <w:rPr>
                <w:rFonts w:hint="default"/>
                <w:lang w:val="en-US" w:eastAsia="zh-CN"/>
              </w:rPr>
              <w:t>≥1</w:t>
            </w:r>
            <w:r>
              <w:rPr>
                <w:rFonts w:hint="eastAsia"/>
                <w:lang w:val="en-US" w:eastAsia="zh-CN"/>
              </w:rPr>
              <w:t>对音频输入输出接口；</w:t>
            </w:r>
            <w:r>
              <w:rPr>
                <w:rFonts w:hint="default"/>
                <w:lang w:val="en-US" w:eastAsia="zh-CN"/>
              </w:rPr>
              <w:br w:type="textWrapping"/>
            </w:r>
            <w:r>
              <w:rPr>
                <w:rFonts w:hint="eastAsia"/>
                <w:lang w:val="en-US" w:eastAsia="zh-CN"/>
              </w:rPr>
              <w:t>5、支持多种登入模式，包含单用户模式、多用户模式、公用模式，支持通过管理服务器远程关闭终端；</w:t>
            </w:r>
            <w:r>
              <w:rPr>
                <w:rFonts w:hint="default"/>
                <w:lang w:val="en-US" w:eastAsia="zh-CN"/>
              </w:rPr>
              <w:br w:type="textWrapping"/>
            </w:r>
            <w:r>
              <w:rPr>
                <w:rFonts w:hint="eastAsia"/>
                <w:lang w:val="en-US" w:eastAsia="zh-CN"/>
              </w:rPr>
              <w:t>6、单用户模式下用户与终端绑定，绑定用户可使用本地存储空间及个人云盘，云盘数据备份在服务器中实现数据漫游；</w:t>
            </w:r>
            <w:r>
              <w:rPr>
                <w:rFonts w:hint="default"/>
                <w:lang w:val="en-US" w:eastAsia="zh-CN"/>
              </w:rPr>
              <w:br w:type="textWrapping"/>
            </w:r>
            <w:r>
              <w:rPr>
                <w:rFonts w:hint="eastAsia"/>
                <w:lang w:val="en-US" w:eastAsia="zh-CN"/>
              </w:rPr>
              <w:t>7、多用户使用模式不绑定用户，该模式下云终端可自动从云主机下载公用镜像，且系统</w:t>
            </w:r>
            <w:r>
              <w:rPr>
                <w:rFonts w:hint="default"/>
                <w:lang w:val="en-US" w:eastAsia="zh-CN"/>
              </w:rPr>
              <w:t>C</w:t>
            </w:r>
            <w:r>
              <w:rPr>
                <w:rFonts w:hint="eastAsia"/>
                <w:lang w:val="en-US" w:eastAsia="zh-CN"/>
              </w:rPr>
              <w:t>盘为还原模式，关机后系统自动还原至初始化状态，用户登入后不可使用本地存储空间，仅能使用个人云盘；公用模式下，终端开机直接进入操作系统，无需输入用户名和密码认证，关机后系统自动还原至初始化状态；</w:t>
            </w:r>
            <w:r>
              <w:rPr>
                <w:rFonts w:hint="default"/>
                <w:lang w:val="en-US" w:eastAsia="zh-CN"/>
              </w:rPr>
              <w:br w:type="textWrapping"/>
            </w:r>
            <w:r>
              <w:rPr>
                <w:rFonts w:hint="eastAsia"/>
                <w:lang w:val="en-US" w:eastAsia="zh-CN"/>
              </w:rPr>
              <w:t>8、支持完全离线模式，即在服务器连接中断时，依然可继续使用当前正在运行的镜像环境，保障业务连续性；</w:t>
            </w:r>
            <w:r>
              <w:rPr>
                <w:rFonts w:hint="default"/>
                <w:lang w:val="en-US" w:eastAsia="zh-CN"/>
              </w:rPr>
              <w:br w:type="textWrapping"/>
            </w:r>
            <w:r>
              <w:rPr>
                <w:rFonts w:hint="eastAsia"/>
                <w:lang w:val="en-US" w:eastAsia="zh-CN"/>
              </w:rPr>
              <w:t>9、支持终端显卡透传，能够将终端物理显卡透传至虚拟机中；支持流程运行主流图形设计类软件，如</w:t>
            </w:r>
            <w:r>
              <w:rPr>
                <w:rFonts w:hint="default"/>
                <w:lang w:val="en-US" w:eastAsia="zh-CN"/>
              </w:rPr>
              <w:t>Photoshop</w:t>
            </w:r>
            <w:r>
              <w:rPr>
                <w:rFonts w:hint="eastAsia"/>
                <w:lang w:val="en-US" w:eastAsia="zh-CN"/>
              </w:rPr>
              <w:t>、</w:t>
            </w:r>
            <w:r>
              <w:rPr>
                <w:rFonts w:hint="default"/>
                <w:lang w:val="en-US" w:eastAsia="zh-CN"/>
              </w:rPr>
              <w:t>3Dmax</w:t>
            </w:r>
            <w:r>
              <w:rPr>
                <w:rFonts w:hint="eastAsia"/>
                <w:lang w:val="en-US" w:eastAsia="zh-CN"/>
              </w:rPr>
              <w:t>、</w:t>
            </w:r>
            <w:r>
              <w:rPr>
                <w:rFonts w:hint="default"/>
                <w:lang w:val="en-US" w:eastAsia="zh-CN"/>
              </w:rPr>
              <w:t>AutoCAD</w:t>
            </w:r>
            <w:r>
              <w:rPr>
                <w:rFonts w:hint="eastAsia"/>
                <w:lang w:val="en-US" w:eastAsia="zh-CN"/>
              </w:rPr>
              <w:t>等；</w:t>
            </w:r>
            <w:r>
              <w:rPr>
                <w:rFonts w:hint="default"/>
                <w:lang w:val="en-US" w:eastAsia="zh-CN"/>
              </w:rPr>
              <w:t xml:space="preserve"> </w:t>
            </w:r>
            <w:r>
              <w:rPr>
                <w:rFonts w:hint="default"/>
                <w:lang w:val="en-US" w:eastAsia="zh-CN"/>
              </w:rPr>
              <w:br w:type="textWrapping"/>
            </w:r>
            <w:r>
              <w:rPr>
                <w:rFonts w:hint="default"/>
                <w:lang w:val="en-US" w:eastAsia="zh-CN"/>
              </w:rPr>
              <w:t>1</w:t>
            </w:r>
            <w:r>
              <w:rPr>
                <w:rFonts w:hint="eastAsia"/>
                <w:lang w:val="en-US" w:eastAsia="zh-CN"/>
              </w:rPr>
              <w:t>0、支持</w:t>
            </w:r>
            <w:r>
              <w:rPr>
                <w:rFonts w:hint="default"/>
                <w:lang w:val="en-US" w:eastAsia="zh-CN"/>
              </w:rPr>
              <w:t>4K</w:t>
            </w:r>
            <w:r>
              <w:rPr>
                <w:rFonts w:hint="eastAsia"/>
                <w:lang w:val="en-US" w:eastAsia="zh-CN"/>
              </w:rPr>
              <w:t>清晰度高清视频流畅播放；</w:t>
            </w:r>
            <w:r>
              <w:rPr>
                <w:rFonts w:hint="default"/>
                <w:lang w:val="en-US" w:eastAsia="zh-CN"/>
              </w:rPr>
              <w:t>USB</w:t>
            </w:r>
            <w:r>
              <w:rPr>
                <w:rFonts w:hint="eastAsia"/>
                <w:lang w:val="en-US" w:eastAsia="zh-CN"/>
              </w:rPr>
              <w:t>外设全兼容，如</w:t>
            </w:r>
            <w:r>
              <w:rPr>
                <w:rFonts w:hint="default"/>
                <w:lang w:val="en-US" w:eastAsia="zh-CN"/>
              </w:rPr>
              <w:t>USB</w:t>
            </w:r>
            <w:r>
              <w:rPr>
                <w:rFonts w:hint="eastAsia"/>
                <w:lang w:val="en-US" w:eastAsia="zh-CN"/>
              </w:rPr>
              <w:t>存储、</w:t>
            </w:r>
            <w:r>
              <w:rPr>
                <w:rFonts w:hint="default"/>
                <w:lang w:val="en-US" w:eastAsia="zh-CN"/>
              </w:rPr>
              <w:t>USB</w:t>
            </w:r>
            <w:r>
              <w:rPr>
                <w:rFonts w:hint="eastAsia"/>
                <w:lang w:val="en-US" w:eastAsia="zh-CN"/>
              </w:rPr>
              <w:t>打印设备、</w:t>
            </w:r>
            <w:r>
              <w:rPr>
                <w:rFonts w:hint="default"/>
                <w:lang w:val="en-US" w:eastAsia="zh-CN"/>
              </w:rPr>
              <w:t>UKey</w:t>
            </w:r>
            <w:r>
              <w:rPr>
                <w:rFonts w:hint="eastAsia"/>
                <w:lang w:val="en-US" w:eastAsia="zh-CN"/>
              </w:rPr>
              <w:t>、电子白板、高拍仪等；</w:t>
            </w:r>
            <w:r>
              <w:rPr>
                <w:rFonts w:hint="default"/>
                <w:lang w:val="en-US" w:eastAsia="zh-CN"/>
              </w:rPr>
              <w:br w:type="textWrapping"/>
            </w:r>
            <w:r>
              <w:rPr>
                <w:rFonts w:hint="default"/>
                <w:lang w:val="en-US" w:eastAsia="zh-CN"/>
              </w:rPr>
              <w:t>1</w:t>
            </w:r>
            <w:r>
              <w:rPr>
                <w:rFonts w:hint="eastAsia"/>
                <w:lang w:val="en-US" w:eastAsia="zh-CN"/>
              </w:rPr>
              <w:t>1、支持将个人桌面数据、收藏夹及我的文档的数据会重定向到个人数据盘中，即使系统盘还原或者损坏，个人桌面上数据也不会丢失，还原桌面后自动链接找回；</w:t>
            </w:r>
            <w:r>
              <w:rPr>
                <w:rFonts w:hint="default"/>
                <w:lang w:val="en-US" w:eastAsia="zh-CN"/>
              </w:rPr>
              <w:br w:type="textWrapping"/>
            </w:r>
            <w:r>
              <w:rPr>
                <w:rFonts w:hint="default"/>
                <w:lang w:val="en-US" w:eastAsia="zh-CN"/>
              </w:rPr>
              <w:t>★1</w:t>
            </w:r>
            <w:r>
              <w:rPr>
                <w:rFonts w:hint="eastAsia"/>
                <w:lang w:val="en-US" w:eastAsia="zh-CN"/>
              </w:rPr>
              <w:t>2、为保障系统兼容性并便于后续统一进行运维管理，要求与云主机为同一品牌；</w:t>
            </w:r>
          </w:p>
          <w:p>
            <w:pPr>
              <w:keepNext w:val="0"/>
              <w:keepLines w:val="0"/>
              <w:widowControl/>
              <w:suppressLineNumbers w:val="0"/>
              <w:jc w:val="left"/>
              <w:textAlignment w:val="center"/>
              <w:rPr>
                <w:rFonts w:hint="eastAsia"/>
                <w:lang w:val="en-US" w:eastAsia="zh-CN"/>
              </w:rPr>
            </w:pPr>
            <w:r>
              <w:rPr>
                <w:rFonts w:hint="default"/>
                <w:lang w:val="en-US" w:eastAsia="zh-CN"/>
              </w:rPr>
              <w:t>★</w:t>
            </w:r>
            <w:r>
              <w:rPr>
                <w:rFonts w:hint="eastAsia"/>
                <w:lang w:val="en-US" w:eastAsia="zh-CN"/>
              </w:rPr>
              <w:t>13、所投产品生产厂商服务体系须通过符合GB/T 27922-2011标准的售后服务认证（5星级），提供证书复印件。</w:t>
            </w:r>
          </w:p>
          <w:p>
            <w:pPr>
              <w:rPr>
                <w:rFonts w:hint="default"/>
                <w:lang w:val="en-US" w:eastAsia="zh-CN"/>
              </w:rPr>
            </w:pPr>
            <w:r>
              <w:rPr>
                <w:rFonts w:hint="eastAsia"/>
                <w:lang w:val="en-US" w:eastAsia="zh-CN"/>
              </w:rPr>
              <w:t>14、以上“</w:t>
            </w:r>
            <w:r>
              <w:rPr>
                <w:rFonts w:hint="default"/>
                <w:lang w:val="en-US" w:eastAsia="zh-CN"/>
              </w:rPr>
              <w:t>★</w:t>
            </w:r>
            <w:r>
              <w:rPr>
                <w:rFonts w:hint="eastAsia"/>
                <w:lang w:val="en-US" w:eastAsia="zh-CN"/>
              </w:rPr>
              <w:t>”部分为重要参数，不允许有负偏离。</w:t>
            </w:r>
          </w:p>
        </w:tc>
        <w:tc>
          <w:tcPr>
            <w:tcW w:w="72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Times New Roman" w:eastAsia="Times New Roman"/>
              </w:rPr>
            </w:pPr>
            <w:r>
              <w:rPr>
                <w:rFonts w:hint="default" w:ascii="Times New Roman" w:hAnsi="Times New Roman" w:eastAsia="宋体" w:cs="Times New Roman"/>
                <w:i w:val="0"/>
                <w:color w:val="000000"/>
                <w:kern w:val="0"/>
                <w:sz w:val="24"/>
                <w:szCs w:val="24"/>
                <w:u w:val="none"/>
                <w:lang w:val="en-US" w:eastAsia="zh-CN" w:bidi="ar"/>
              </w:rPr>
              <w:t xml:space="preserve">120 </w:t>
            </w:r>
          </w:p>
        </w:tc>
        <w:tc>
          <w:tcPr>
            <w:tcW w:w="85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Times New Roman" w:hAnsi="Times New Roman" w:eastAsia="Times New Roman"/>
              </w:rPr>
            </w:pPr>
            <w:r>
              <w:rPr>
                <w:rFonts w:hint="eastAsia" w:ascii="宋体" w:hAnsi="宋体" w:eastAsia="宋体" w:cs="宋体"/>
                <w:i w:val="0"/>
                <w:color w:val="000000"/>
                <w:kern w:val="0"/>
                <w:sz w:val="24"/>
                <w:szCs w:val="24"/>
                <w:u w:val="none"/>
                <w:lang w:val="en-US" w:eastAsia="en-US" w:bidi="ar"/>
              </w:rPr>
              <w:t>台</w:t>
            </w:r>
          </w:p>
        </w:tc>
        <w:tc>
          <w:tcPr>
            <w:tcW w:w="144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Times New Roman"/>
                <w:lang w:val="en-US"/>
              </w:rPr>
            </w:pPr>
          </w:p>
        </w:tc>
        <w:tc>
          <w:tcPr>
            <w:tcW w:w="139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eastAsia="Times New Roman"/>
                <w:lang w:val="en-US"/>
              </w:rPr>
            </w:pPr>
          </w:p>
        </w:tc>
      </w:tr>
      <w:tr>
        <w:tblPrEx>
          <w:tblCellMar>
            <w:top w:w="0" w:type="dxa"/>
            <w:left w:w="108" w:type="dxa"/>
            <w:bottom w:w="0" w:type="dxa"/>
            <w:right w:w="108" w:type="dxa"/>
          </w:tblCellMar>
        </w:tblPrEx>
        <w:trPr>
          <w:trHeight w:val="320" w:hRule="atLeast"/>
        </w:trPr>
        <w:tc>
          <w:tcPr>
            <w:tcW w:w="783"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Times New Roman" w:hAnsi="Times New Roman" w:eastAsia="Times New Roman"/>
              </w:rPr>
            </w:pPr>
            <w:r>
              <w:rPr>
                <w:rFonts w:hint="default" w:ascii="Times New Roman" w:hAnsi="Times New Roman" w:eastAsia="宋体" w:cs="Times New Roman"/>
                <w:i w:val="0"/>
                <w:color w:val="000000"/>
                <w:kern w:val="0"/>
                <w:sz w:val="24"/>
                <w:szCs w:val="24"/>
                <w:u w:val="none"/>
                <w:lang w:val="en-US" w:eastAsia="zh-CN" w:bidi="ar"/>
              </w:rPr>
              <w:t>3</w:t>
            </w:r>
          </w:p>
        </w:tc>
        <w:tc>
          <w:tcPr>
            <w:tcW w:w="1106"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Times New Roman" w:eastAsia="宋体"/>
                <w:lang w:eastAsia="zh-CN"/>
              </w:rPr>
            </w:pPr>
            <w:r>
              <w:rPr>
                <w:rFonts w:hint="eastAsia" w:ascii="宋体" w:hAnsi="宋体" w:eastAsia="宋体" w:cs="宋体"/>
                <w:i w:val="0"/>
                <w:color w:val="000000"/>
                <w:kern w:val="0"/>
                <w:sz w:val="24"/>
                <w:szCs w:val="24"/>
                <w:u w:val="none"/>
                <w:lang w:val="en-US" w:eastAsia="en-US" w:bidi="ar"/>
              </w:rPr>
              <w:t>显示器</w:t>
            </w:r>
            <w:r>
              <w:rPr>
                <w:rFonts w:hint="eastAsia" w:ascii="宋体" w:hAnsi="宋体" w:cs="宋体"/>
                <w:i w:val="0"/>
                <w:color w:val="000000"/>
                <w:kern w:val="0"/>
                <w:sz w:val="24"/>
                <w:szCs w:val="24"/>
                <w:u w:val="none"/>
                <w:lang w:val="en-US" w:eastAsia="zh-CN" w:bidi="ar"/>
              </w:rPr>
              <w:t>分</w:t>
            </w:r>
          </w:p>
        </w:tc>
        <w:tc>
          <w:tcPr>
            <w:tcW w:w="7111" w:type="dxa"/>
            <w:tcBorders>
              <w:top w:val="nil"/>
              <w:left w:val="nil"/>
              <w:bottom w:val="single" w:color="auto" w:sz="4" w:space="0"/>
              <w:right w:val="single" w:color="auto" w:sz="4" w:space="0"/>
            </w:tcBorders>
            <w:noWrap/>
            <w:vAlign w:val="center"/>
          </w:tcPr>
          <w:p>
            <w:pPr>
              <w:keepNext w:val="0"/>
              <w:keepLines w:val="0"/>
              <w:widowControl/>
              <w:suppressLineNumbers w:val="0"/>
              <w:jc w:val="both"/>
              <w:textAlignment w:val="center"/>
              <w:rPr>
                <w:rFonts w:ascii="Times New Roman" w:hAnsi="Times New Roman" w:eastAsia="Times New Roman"/>
              </w:rPr>
            </w:pPr>
            <w:r>
              <w:rPr>
                <w:rFonts w:hint="default" w:ascii="Times New Roman" w:hAnsi="Times New Roman" w:eastAsia="宋体" w:cs="Times New Roman"/>
                <w:i w:val="0"/>
                <w:color w:val="000000"/>
                <w:kern w:val="0"/>
                <w:sz w:val="24"/>
                <w:szCs w:val="24"/>
                <w:u w:val="none"/>
                <w:lang w:val="en-US" w:eastAsia="zh-CN" w:bidi="ar"/>
              </w:rPr>
              <w:t xml:space="preserve"> </w:t>
            </w:r>
            <w:r>
              <w:rPr>
                <w:rFonts w:hint="eastAsia" w:ascii="宋体" w:hAnsi="宋体" w:eastAsia="宋体" w:cs="宋体"/>
                <w:i w:val="0"/>
                <w:color w:val="000000"/>
                <w:sz w:val="21"/>
                <w:szCs w:val="21"/>
                <w:highlight w:val="none"/>
                <w:u w:val="none"/>
              </w:rPr>
              <w:t>液晶显示器，21.5寸，IPS屏幕，LED背光，窄边框设计</w:t>
            </w:r>
          </w:p>
        </w:tc>
        <w:tc>
          <w:tcPr>
            <w:tcW w:w="72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Times New Roman" w:eastAsia="Times New Roman"/>
              </w:rPr>
            </w:pPr>
            <w:r>
              <w:rPr>
                <w:rFonts w:hint="default" w:ascii="Times New Roman" w:hAnsi="Times New Roman" w:eastAsia="宋体" w:cs="Times New Roman"/>
                <w:i w:val="0"/>
                <w:color w:val="000000"/>
                <w:kern w:val="0"/>
                <w:sz w:val="24"/>
                <w:szCs w:val="24"/>
                <w:u w:val="none"/>
                <w:lang w:val="en-US" w:eastAsia="zh-CN" w:bidi="ar"/>
              </w:rPr>
              <w:t xml:space="preserve">120 </w:t>
            </w:r>
          </w:p>
        </w:tc>
        <w:tc>
          <w:tcPr>
            <w:tcW w:w="85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Times New Roman" w:hAnsi="Times New Roman" w:eastAsia="Times New Roman"/>
              </w:rPr>
            </w:pPr>
            <w:r>
              <w:rPr>
                <w:rFonts w:hint="eastAsia" w:ascii="宋体" w:hAnsi="宋体" w:eastAsia="宋体" w:cs="宋体"/>
                <w:i w:val="0"/>
                <w:color w:val="000000"/>
                <w:kern w:val="0"/>
                <w:sz w:val="24"/>
                <w:szCs w:val="24"/>
                <w:u w:val="none"/>
                <w:lang w:val="en-US" w:eastAsia="en-US" w:bidi="ar"/>
              </w:rPr>
              <w:t>台</w:t>
            </w:r>
          </w:p>
        </w:tc>
        <w:tc>
          <w:tcPr>
            <w:tcW w:w="144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lang w:val="en-US" w:eastAsia="zh-CN"/>
              </w:rPr>
            </w:pPr>
          </w:p>
        </w:tc>
        <w:tc>
          <w:tcPr>
            <w:tcW w:w="139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eastAsia="Times New Roman"/>
                <w:lang w:val="en-US"/>
              </w:rPr>
            </w:pPr>
          </w:p>
        </w:tc>
      </w:tr>
      <w:tr>
        <w:tblPrEx>
          <w:tblCellMar>
            <w:top w:w="0" w:type="dxa"/>
            <w:left w:w="108" w:type="dxa"/>
            <w:bottom w:w="0" w:type="dxa"/>
            <w:right w:w="108" w:type="dxa"/>
          </w:tblCellMar>
        </w:tblPrEx>
        <w:trPr>
          <w:trHeight w:val="320" w:hRule="atLeast"/>
        </w:trPr>
        <w:tc>
          <w:tcPr>
            <w:tcW w:w="783"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Times New Roman" w:hAnsi="Times New Roman" w:eastAsia="Times New Roman"/>
              </w:rPr>
            </w:pPr>
            <w:r>
              <w:rPr>
                <w:rFonts w:hint="default" w:ascii="Times New Roman" w:hAnsi="Times New Roman" w:eastAsia="宋体" w:cs="Times New Roman"/>
                <w:i w:val="0"/>
                <w:color w:val="000000"/>
                <w:kern w:val="0"/>
                <w:sz w:val="24"/>
                <w:szCs w:val="24"/>
                <w:u w:val="none"/>
                <w:lang w:val="en-US" w:eastAsia="zh-CN" w:bidi="ar"/>
              </w:rPr>
              <w:t>4</w:t>
            </w:r>
          </w:p>
        </w:tc>
        <w:tc>
          <w:tcPr>
            <w:tcW w:w="1106"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Times New Roman" w:eastAsia="Times New Roman"/>
              </w:rPr>
            </w:pPr>
            <w:r>
              <w:rPr>
                <w:rFonts w:hint="eastAsia" w:ascii="宋体" w:hAnsi="宋体" w:eastAsia="宋体" w:cs="宋体"/>
                <w:i w:val="0"/>
                <w:color w:val="000000"/>
                <w:kern w:val="0"/>
                <w:sz w:val="24"/>
                <w:szCs w:val="24"/>
                <w:u w:val="none"/>
                <w:lang w:val="en-US" w:eastAsia="en-US" w:bidi="ar"/>
              </w:rPr>
              <w:t>键盘</w:t>
            </w:r>
            <w:r>
              <w:rPr>
                <w:rFonts w:hint="eastAsia" w:ascii="宋体" w:hAnsi="宋体" w:cs="宋体"/>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en-US" w:bidi="ar"/>
              </w:rPr>
              <w:t>鼠标</w:t>
            </w:r>
          </w:p>
        </w:tc>
        <w:tc>
          <w:tcPr>
            <w:tcW w:w="7111" w:type="dxa"/>
            <w:tcBorders>
              <w:top w:val="nil"/>
              <w:left w:val="nil"/>
              <w:bottom w:val="single" w:color="auto" w:sz="4" w:space="0"/>
              <w:right w:val="single" w:color="auto" w:sz="4" w:space="0"/>
            </w:tcBorders>
            <w:noWrap/>
            <w:vAlign w:val="center"/>
          </w:tcPr>
          <w:p>
            <w:pPr>
              <w:keepNext w:val="0"/>
              <w:keepLines w:val="0"/>
              <w:widowControl/>
              <w:suppressLineNumbers w:val="0"/>
              <w:jc w:val="both"/>
              <w:textAlignment w:val="center"/>
              <w:rPr>
                <w:rFonts w:hint="eastAsia" w:ascii="Times New Roman" w:hAnsi="Times New Roman"/>
              </w:rPr>
            </w:pPr>
            <w:r>
              <w:rPr>
                <w:rFonts w:hint="default" w:ascii="Times New Roman" w:hAnsi="Times New Roman" w:eastAsia="宋体" w:cs="Times New Roman"/>
                <w:i w:val="0"/>
                <w:color w:val="000000"/>
                <w:kern w:val="0"/>
                <w:sz w:val="24"/>
                <w:szCs w:val="24"/>
                <w:u w:val="none"/>
                <w:lang w:val="en-US" w:eastAsia="zh-CN" w:bidi="ar"/>
              </w:rPr>
              <w:t xml:space="preserve"> </w:t>
            </w:r>
            <w:r>
              <w:rPr>
                <w:rFonts w:hint="eastAsia" w:ascii="宋体" w:hAnsi="宋体" w:eastAsia="宋体" w:cs="宋体"/>
                <w:i w:val="0"/>
                <w:color w:val="000000"/>
                <w:sz w:val="21"/>
                <w:szCs w:val="21"/>
                <w:highlight w:val="none"/>
                <w:u w:val="none"/>
                <w:lang w:val="en-US" w:eastAsia="zh-CN"/>
              </w:rPr>
              <w:t>USB鼠标、键盘</w:t>
            </w:r>
          </w:p>
        </w:tc>
        <w:tc>
          <w:tcPr>
            <w:tcW w:w="72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Times New Roman" w:eastAsia="Times New Roman"/>
              </w:rPr>
            </w:pPr>
            <w:r>
              <w:rPr>
                <w:rFonts w:hint="default" w:ascii="Times New Roman" w:hAnsi="Times New Roman" w:eastAsia="宋体" w:cs="Times New Roman"/>
                <w:i w:val="0"/>
                <w:color w:val="000000"/>
                <w:kern w:val="0"/>
                <w:sz w:val="24"/>
                <w:szCs w:val="24"/>
                <w:u w:val="none"/>
                <w:lang w:val="en-US" w:eastAsia="zh-CN" w:bidi="ar"/>
              </w:rPr>
              <w:t xml:space="preserve">120 </w:t>
            </w:r>
          </w:p>
        </w:tc>
        <w:tc>
          <w:tcPr>
            <w:tcW w:w="85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Times New Roman" w:hAnsi="Times New Roman" w:eastAsia="Times New Roman"/>
              </w:rPr>
            </w:pPr>
            <w:r>
              <w:rPr>
                <w:rFonts w:hint="eastAsia" w:ascii="宋体" w:hAnsi="宋体" w:eastAsia="宋体" w:cs="宋体"/>
                <w:i w:val="0"/>
                <w:color w:val="000000"/>
                <w:kern w:val="0"/>
                <w:sz w:val="24"/>
                <w:szCs w:val="24"/>
                <w:u w:val="none"/>
                <w:lang w:val="en-US" w:eastAsia="en-US" w:bidi="ar"/>
              </w:rPr>
              <w:t>台</w:t>
            </w:r>
          </w:p>
        </w:tc>
        <w:tc>
          <w:tcPr>
            <w:tcW w:w="144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Times New Roman"/>
                <w:lang w:val="en-US"/>
              </w:rPr>
            </w:pPr>
          </w:p>
        </w:tc>
        <w:tc>
          <w:tcPr>
            <w:tcW w:w="139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eastAsia="Times New Roman"/>
                <w:lang w:val="en-US"/>
              </w:rPr>
            </w:pPr>
          </w:p>
        </w:tc>
      </w:tr>
      <w:tr>
        <w:tblPrEx>
          <w:tblCellMar>
            <w:top w:w="0" w:type="dxa"/>
            <w:left w:w="108" w:type="dxa"/>
            <w:bottom w:w="0" w:type="dxa"/>
            <w:right w:w="108" w:type="dxa"/>
          </w:tblCellMar>
        </w:tblPrEx>
        <w:trPr>
          <w:trHeight w:val="320" w:hRule="atLeast"/>
        </w:trPr>
        <w:tc>
          <w:tcPr>
            <w:tcW w:w="783"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en-US" w:bidi="ar"/>
              </w:rPr>
            </w:pPr>
            <w:r>
              <w:rPr>
                <w:rFonts w:hint="eastAsia" w:ascii="宋体" w:hAnsi="宋体" w:eastAsia="宋体" w:cs="宋体"/>
                <w:i w:val="0"/>
                <w:color w:val="000000"/>
                <w:kern w:val="0"/>
                <w:sz w:val="24"/>
                <w:szCs w:val="24"/>
                <w:u w:val="none"/>
                <w:lang w:val="en-US" w:eastAsia="zh-CN" w:bidi="ar"/>
              </w:rPr>
              <w:t>5</w:t>
            </w:r>
          </w:p>
        </w:tc>
        <w:tc>
          <w:tcPr>
            <w:tcW w:w="1106"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en-US" w:bidi="ar"/>
              </w:rPr>
            </w:pPr>
            <w:r>
              <w:rPr>
                <w:rFonts w:hint="eastAsia" w:ascii="宋体" w:hAnsi="宋体" w:eastAsia="宋体" w:cs="宋体"/>
                <w:i w:val="0"/>
                <w:color w:val="000000"/>
                <w:kern w:val="0"/>
                <w:sz w:val="24"/>
                <w:szCs w:val="24"/>
                <w:u w:val="none"/>
                <w:lang w:val="en-US" w:eastAsia="zh-CN" w:bidi="ar"/>
              </w:rPr>
              <w:t>黑白激光打印机</w:t>
            </w:r>
          </w:p>
        </w:tc>
        <w:tc>
          <w:tcPr>
            <w:tcW w:w="7111" w:type="dxa"/>
            <w:tcBorders>
              <w:top w:val="nil"/>
              <w:left w:val="nil"/>
              <w:bottom w:val="single" w:color="auto" w:sz="4" w:space="0"/>
              <w:right w:val="single" w:color="auto" w:sz="4" w:space="0"/>
            </w:tcBorders>
            <w:noWrap/>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产品类型 ：黑白激光打印机。 最大打印幅面：A4。最高分辨率： 1200×1200dpi。</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黑白打印速度 ：20ppm。耗材类型 ：鼓粉一体。</w:t>
            </w:r>
          </w:p>
        </w:tc>
        <w:tc>
          <w:tcPr>
            <w:tcW w:w="72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10</w:t>
            </w:r>
          </w:p>
        </w:tc>
        <w:tc>
          <w:tcPr>
            <w:tcW w:w="85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Times New Roman" w:hAnsi="Times New Roman" w:eastAsia="Times New Roman"/>
              </w:rPr>
            </w:pPr>
            <w:r>
              <w:rPr>
                <w:rFonts w:hint="eastAsia" w:ascii="Times New Roman" w:hAnsi="Times New Roman" w:eastAsia="宋体" w:cs="Times New Roman"/>
                <w:i w:val="0"/>
                <w:color w:val="000000"/>
                <w:kern w:val="0"/>
                <w:sz w:val="24"/>
                <w:szCs w:val="24"/>
                <w:u w:val="none"/>
                <w:lang w:val="en-US" w:eastAsia="zh-CN" w:bidi="ar"/>
              </w:rPr>
              <w:t>台</w:t>
            </w:r>
          </w:p>
        </w:tc>
        <w:tc>
          <w:tcPr>
            <w:tcW w:w="144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Times New Roman" w:hAnsi="Times New Roman" w:eastAsia="Times New Roman"/>
              </w:rPr>
            </w:pPr>
          </w:p>
        </w:tc>
        <w:tc>
          <w:tcPr>
            <w:tcW w:w="139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Times New Roman" w:eastAsia="Times New Roman"/>
              </w:rPr>
            </w:pPr>
          </w:p>
        </w:tc>
      </w:tr>
      <w:tr>
        <w:tblPrEx>
          <w:tblCellMar>
            <w:top w:w="0" w:type="dxa"/>
            <w:left w:w="108" w:type="dxa"/>
            <w:bottom w:w="0" w:type="dxa"/>
            <w:right w:w="108" w:type="dxa"/>
          </w:tblCellMar>
        </w:tblPrEx>
        <w:trPr>
          <w:trHeight w:val="320" w:hRule="atLeast"/>
        </w:trPr>
        <w:tc>
          <w:tcPr>
            <w:tcW w:w="783"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en-US" w:bidi="ar"/>
              </w:rPr>
            </w:pPr>
            <w:r>
              <w:rPr>
                <w:rFonts w:hint="eastAsia" w:ascii="宋体" w:hAnsi="宋体" w:eastAsia="宋体" w:cs="宋体"/>
                <w:i w:val="0"/>
                <w:color w:val="000000"/>
                <w:kern w:val="0"/>
                <w:sz w:val="24"/>
                <w:szCs w:val="24"/>
                <w:u w:val="none"/>
                <w:lang w:val="en-US" w:eastAsia="zh-CN" w:bidi="ar"/>
              </w:rPr>
              <w:t>6</w:t>
            </w:r>
          </w:p>
        </w:tc>
        <w:tc>
          <w:tcPr>
            <w:tcW w:w="1106"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en-US" w:bidi="ar"/>
              </w:rPr>
            </w:pPr>
            <w:r>
              <w:rPr>
                <w:rFonts w:hint="eastAsia" w:ascii="宋体" w:hAnsi="宋体" w:eastAsia="宋体" w:cs="宋体"/>
                <w:i w:val="0"/>
                <w:color w:val="000000"/>
                <w:kern w:val="0"/>
                <w:sz w:val="24"/>
                <w:szCs w:val="24"/>
                <w:u w:val="none"/>
                <w:lang w:val="en-US" w:eastAsia="zh-CN" w:bidi="ar"/>
              </w:rPr>
              <w:t>彩色多功能一体机</w:t>
            </w:r>
          </w:p>
        </w:tc>
        <w:tc>
          <w:tcPr>
            <w:tcW w:w="7111" w:type="dxa"/>
            <w:tcBorders>
              <w:top w:val="nil"/>
              <w:left w:val="nil"/>
              <w:bottom w:val="single" w:color="auto" w:sz="4" w:space="0"/>
              <w:right w:val="single" w:color="auto" w:sz="4" w:space="0"/>
            </w:tcBorders>
            <w:noWrap/>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墨仓式多功能一体机。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功能： 打印/复印/扫描。</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最大处理幅面 A4。</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打印分辨率：5760×1440dpi。</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黑白打印速度：10.5ipm，经济：33pp。</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彩色打印速度：5ipm，经济：15pp。</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网络功能：支持无线/有线网络打印。</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双面功能：自动，耗材类型 一体式墨盒。</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双面功能：自动。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喷嘴数量：共357个喷嘴。</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复印分辨率：1440×720dpi。</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连续复印：1-99页。</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缩放范围：25-400%（自适应）。</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复印模式：彩色/黑白。</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最大复印尺寸：A4。</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扫描类型：平板式。</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扫描元件：CIS。</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光学分辨率：1200dpi。</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最大分辨率：9600dpi。</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扫描最大物理分辨率：1200×2400dpi。</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显示屏：1.44英寸。</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保修政策：全国联保，原厂保修1年（含打印头），享受三包服务。</w:t>
            </w:r>
          </w:p>
        </w:tc>
        <w:tc>
          <w:tcPr>
            <w:tcW w:w="72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6</w:t>
            </w:r>
          </w:p>
        </w:tc>
        <w:tc>
          <w:tcPr>
            <w:tcW w:w="85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Times New Roman" w:hAnsi="Times New Roman" w:eastAsia="Times New Roman"/>
              </w:rPr>
            </w:pPr>
            <w:r>
              <w:rPr>
                <w:rFonts w:hint="eastAsia" w:ascii="Times New Roman" w:hAnsi="Times New Roman" w:eastAsia="宋体" w:cs="Times New Roman"/>
                <w:i w:val="0"/>
                <w:color w:val="000000"/>
                <w:kern w:val="0"/>
                <w:sz w:val="24"/>
                <w:szCs w:val="24"/>
                <w:u w:val="none"/>
                <w:lang w:val="en-US" w:eastAsia="zh-CN" w:bidi="ar"/>
              </w:rPr>
              <w:t>台</w:t>
            </w:r>
          </w:p>
        </w:tc>
        <w:tc>
          <w:tcPr>
            <w:tcW w:w="144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Times New Roman" w:hAnsi="Times New Roman" w:eastAsia="Times New Roman"/>
              </w:rPr>
            </w:pPr>
          </w:p>
        </w:tc>
        <w:tc>
          <w:tcPr>
            <w:tcW w:w="139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Times New Roman" w:eastAsia="Times New Roman"/>
              </w:rPr>
            </w:pPr>
          </w:p>
        </w:tc>
      </w:tr>
      <w:tr>
        <w:tblPrEx>
          <w:tblCellMar>
            <w:top w:w="0" w:type="dxa"/>
            <w:left w:w="108" w:type="dxa"/>
            <w:bottom w:w="0" w:type="dxa"/>
            <w:right w:w="108" w:type="dxa"/>
          </w:tblCellMar>
        </w:tblPrEx>
        <w:trPr>
          <w:trHeight w:val="320" w:hRule="atLeast"/>
        </w:trPr>
        <w:tc>
          <w:tcPr>
            <w:tcW w:w="783"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en-US" w:bidi="ar"/>
              </w:rPr>
            </w:pPr>
            <w:r>
              <w:rPr>
                <w:rFonts w:hint="eastAsia" w:ascii="宋体" w:hAnsi="宋体" w:eastAsia="宋体" w:cs="宋体"/>
                <w:i w:val="0"/>
                <w:color w:val="000000"/>
                <w:kern w:val="0"/>
                <w:sz w:val="24"/>
                <w:szCs w:val="24"/>
                <w:u w:val="none"/>
                <w:lang w:val="en-US" w:eastAsia="zh-CN" w:bidi="ar"/>
              </w:rPr>
              <w:t>7</w:t>
            </w:r>
          </w:p>
        </w:tc>
        <w:tc>
          <w:tcPr>
            <w:tcW w:w="1106"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en-US" w:bidi="ar"/>
              </w:rPr>
            </w:pPr>
            <w:r>
              <w:rPr>
                <w:rFonts w:hint="eastAsia" w:ascii="宋体" w:hAnsi="宋体" w:eastAsia="宋体" w:cs="宋体"/>
                <w:i w:val="0"/>
                <w:color w:val="000000"/>
                <w:kern w:val="0"/>
                <w:sz w:val="24"/>
                <w:szCs w:val="24"/>
                <w:u w:val="none"/>
                <w:lang w:val="en-US" w:eastAsia="zh-CN" w:bidi="ar"/>
              </w:rPr>
              <w:t>单反相机</w:t>
            </w:r>
          </w:p>
        </w:tc>
        <w:tc>
          <w:tcPr>
            <w:tcW w:w="7111" w:type="dxa"/>
            <w:tcBorders>
              <w:top w:val="nil"/>
              <w:left w:val="nil"/>
              <w:bottom w:val="single" w:color="auto" w:sz="4" w:space="0"/>
              <w:right w:val="single" w:color="auto" w:sz="4" w:space="0"/>
            </w:tcBorders>
            <w:noWrap/>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产品类型：高端单反</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操作方式：全手动操作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传感器类型：CMOS</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传感器尺寸：全画幅（36*24mm）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有效像素：3040万高清</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影像处理器：DIGIC6+</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最高分辨率：6720×4480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高清摄像：4K超高清视频（2160）</w:t>
            </w:r>
          </w:p>
          <w:p>
            <w:pPr>
              <w:keepNext w:val="0"/>
              <w:keepLines w:val="0"/>
              <w:widowControl/>
              <w:suppressLineNumbers w:val="0"/>
              <w:jc w:val="both"/>
              <w:textAlignment w:val="center"/>
              <w:rPr>
                <w:rFonts w:hint="default" w:ascii="Times New Roman" w:hAnsi="Times New Roman" w:eastAsia="宋体" w:cs="Times New Roman"/>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镜头：EF 24-105mm f/4L IS II USM</w:t>
            </w:r>
            <w:r>
              <w:rPr>
                <w:rFonts w:hint="eastAsia" w:ascii="宋体" w:hAnsi="宋体" w:cs="宋体"/>
                <w:i w:val="0"/>
                <w:color w:val="000000"/>
                <w:kern w:val="0"/>
                <w:sz w:val="22"/>
                <w:szCs w:val="22"/>
                <w:u w:val="none"/>
                <w:lang w:val="en-US" w:eastAsia="zh-CN" w:bidi="ar"/>
              </w:rPr>
              <w:t>二代</w:t>
            </w:r>
            <w:r>
              <w:rPr>
                <w:rFonts w:hint="eastAsia" w:ascii="宋体" w:hAnsi="宋体" w:eastAsia="宋体" w:cs="宋体"/>
                <w:i w:val="0"/>
                <w:color w:val="000000"/>
                <w:kern w:val="0"/>
                <w:sz w:val="22"/>
                <w:szCs w:val="22"/>
                <w:u w:val="none"/>
                <w:lang w:val="en-US" w:eastAsia="zh-CN" w:bidi="ar"/>
              </w:rPr>
              <w:t>镜头，实际焦距：f=24-105mm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镜头卡口：EF卡口&gt;显示屏类型：触摸屏</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显示屏尺寸：3.2英寸</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显示屏像素：162万像素液晶屏</w:t>
            </w:r>
          </w:p>
        </w:tc>
        <w:tc>
          <w:tcPr>
            <w:tcW w:w="72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w:t>
            </w:r>
          </w:p>
        </w:tc>
        <w:tc>
          <w:tcPr>
            <w:tcW w:w="85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Times New Roman" w:hAnsi="Times New Roman" w:eastAsia="Times New Roman"/>
              </w:rPr>
            </w:pPr>
            <w:r>
              <w:rPr>
                <w:rFonts w:hint="eastAsia" w:ascii="Times New Roman" w:hAnsi="Times New Roman" w:eastAsia="宋体" w:cs="Times New Roman"/>
                <w:i w:val="0"/>
                <w:color w:val="000000"/>
                <w:kern w:val="0"/>
                <w:sz w:val="24"/>
                <w:szCs w:val="24"/>
                <w:u w:val="none"/>
                <w:lang w:val="en-US" w:eastAsia="zh-CN" w:bidi="ar"/>
              </w:rPr>
              <w:t>套</w:t>
            </w:r>
          </w:p>
        </w:tc>
        <w:tc>
          <w:tcPr>
            <w:tcW w:w="144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Times New Roman" w:hAnsi="Times New Roman" w:eastAsia="Times New Roman"/>
              </w:rPr>
            </w:pPr>
            <w:bookmarkStart w:id="0" w:name="_GoBack"/>
            <w:bookmarkEnd w:id="0"/>
          </w:p>
        </w:tc>
        <w:tc>
          <w:tcPr>
            <w:tcW w:w="139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Times New Roman" w:hAnsi="Times New Roman" w:eastAsia="Times New Roman"/>
              </w:rPr>
            </w:pPr>
          </w:p>
        </w:tc>
      </w:tr>
      <w:tr>
        <w:tblPrEx>
          <w:tblCellMar>
            <w:top w:w="0" w:type="dxa"/>
            <w:left w:w="108" w:type="dxa"/>
            <w:bottom w:w="0" w:type="dxa"/>
            <w:right w:w="108" w:type="dxa"/>
          </w:tblCellMar>
        </w:tblPrEx>
        <w:trPr>
          <w:trHeight w:val="320" w:hRule="atLeast"/>
        </w:trPr>
        <w:tc>
          <w:tcPr>
            <w:tcW w:w="10575" w:type="dxa"/>
            <w:gridSpan w:val="5"/>
            <w:tcBorders>
              <w:top w:val="single" w:color="auto" w:sz="4" w:space="0"/>
              <w:left w:val="single" w:color="auto" w:sz="4" w:space="0"/>
              <w:bottom w:val="single" w:color="auto" w:sz="4" w:space="0"/>
              <w:right w:val="single" w:color="auto" w:sz="4" w:space="0"/>
            </w:tcBorders>
            <w:noWrap/>
            <w:vAlign w:val="center"/>
          </w:tcPr>
          <w:p>
            <w:pPr>
              <w:jc w:val="right"/>
              <w:rPr>
                <w:rFonts w:ascii="Times New Roman" w:eastAsia="Times New Roman"/>
                <w:color w:val="FF0000"/>
              </w:rPr>
            </w:pPr>
          </w:p>
        </w:tc>
        <w:tc>
          <w:tcPr>
            <w:tcW w:w="1440" w:type="dxa"/>
            <w:tcBorders>
              <w:top w:val="nil"/>
              <w:left w:val="nil"/>
              <w:bottom w:val="single" w:color="auto" w:sz="4" w:space="0"/>
              <w:right w:val="single" w:color="auto" w:sz="4" w:space="0"/>
            </w:tcBorders>
            <w:noWrap/>
            <w:vAlign w:val="center"/>
          </w:tcPr>
          <w:p>
            <w:pPr>
              <w:jc w:val="center"/>
              <w:rPr>
                <w:rFonts w:hint="default" w:eastAsia="宋体"/>
                <w:color w:val="FF0000"/>
                <w:lang w:val="en-US" w:eastAsia="zh-CN"/>
              </w:rPr>
            </w:pPr>
          </w:p>
        </w:tc>
        <w:tc>
          <w:tcPr>
            <w:tcW w:w="1395" w:type="dxa"/>
            <w:tcBorders>
              <w:top w:val="nil"/>
              <w:left w:val="nil"/>
              <w:bottom w:val="single" w:color="auto" w:sz="4" w:space="0"/>
              <w:right w:val="single" w:color="auto" w:sz="4" w:space="0"/>
            </w:tcBorders>
            <w:noWrap/>
            <w:vAlign w:val="center"/>
          </w:tcPr>
          <w:p>
            <w:pPr>
              <w:ind w:firstLine="420" w:firstLineChars="200"/>
              <w:rPr>
                <w:rFonts w:ascii="Times New Roman" w:eastAsia="Times New Roman"/>
                <w:color w:val="FF0000"/>
              </w:rPr>
            </w:pPr>
          </w:p>
        </w:tc>
      </w:tr>
    </w:tbl>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4D4297"/>
    <w:rsid w:val="494D4297"/>
    <w:rsid w:val="4DFE5B1B"/>
    <w:rsid w:val="62945D83"/>
    <w:rsid w:val="69CE7B4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qFormat/>
    <w:uiPriority w:val="9"/>
    <w:pPr>
      <w:keepNext/>
      <w:keepLines/>
      <w:spacing w:before="260" w:beforeLines="0" w:after="260" w:afterLines="0" w:line="416" w:lineRule="auto"/>
      <w:outlineLvl w:val="1"/>
    </w:pPr>
    <w:rPr>
      <w:rFonts w:ascii="Cambria" w:hAnsi="Cambria"/>
      <w:b/>
      <w:sz w:val="32"/>
      <w:szCs w:val="32"/>
      <w:lang w:eastAsia="en-US"/>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kern w:val="0"/>
      <w:sz w:val="18"/>
      <w:szCs w:val="18"/>
    </w:rPr>
  </w:style>
  <w:style w:type="character" w:styleId="6">
    <w:name w:val="page number"/>
    <w:basedOn w:val="5"/>
    <w:qFormat/>
    <w:uiPriority w:val="0"/>
  </w:style>
  <w:style w:type="character" w:customStyle="1" w:styleId="7">
    <w:name w:val="font01"/>
    <w:basedOn w:val="5"/>
    <w:qFormat/>
    <w:uiPriority w:val="0"/>
    <w:rPr>
      <w:rFonts w:hint="eastAsia" w:ascii="宋体" w:hAnsi="宋体" w:eastAsia="宋体" w:cs="宋体"/>
      <w:color w:val="00CCFF"/>
      <w:kern w:val="0"/>
      <w:sz w:val="22"/>
      <w:szCs w:val="22"/>
      <w:u w:val="none"/>
      <w:lang w:eastAsia="en-US"/>
    </w:rPr>
  </w:style>
  <w:style w:type="character" w:customStyle="1" w:styleId="8">
    <w:name w:val="font21"/>
    <w:basedOn w:val="5"/>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2019-11-07T13:51:00Z</dcterms:created>
  <dc:creator>仁心</dc:creator>
  <cp:lastModifiedBy>Administrator</cp:lastModifiedBy>
  <dcterms:modified xsi:type="dcterms:W3CDTF">2019-11-08T10:30:44Z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